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E079" w14:textId="77777777" w:rsidR="006D0DC8" w:rsidRDefault="006D0DC8" w:rsidP="006D0DC8"/>
    <w:p w14:paraId="5FF6F676" w14:textId="7D41E6CA" w:rsidR="00FE713E" w:rsidRDefault="006D0DC8" w:rsidP="006D0DC8">
      <w:r w:rsidRPr="006D0DC8">
        <w:t>Cette liste n’a pas vocation à remplacer les RCP et ne doit en aucun cas se substituer au jugement clinique. Au contraire, elle vise à accompagner les équipes et leur apporter des solutions. Elle comporte les données issues des RCP et des documents transmis par les laboratoires. Elle sera mise à jour régulièrement. S'il vous manque des informations, demandez conseil à votre pharmacien.</w:t>
      </w:r>
    </w:p>
    <w:p w14:paraId="500CE3E8" w14:textId="19902C0D" w:rsidR="006D0DC8" w:rsidRDefault="006D0DC8"/>
    <w:p w14:paraId="6309A6AE" w14:textId="77777777" w:rsidR="00D30CFA" w:rsidRDefault="006D0DC8" w:rsidP="006D0DC8">
      <w:r>
        <w:t xml:space="preserve">Il faut tenir compte du fait que toutes les formes orales ne sont pas écrasables : </w:t>
      </w:r>
      <w:r w:rsidRPr="00D30CFA">
        <w:rPr>
          <w:b/>
          <w:bCs/>
        </w:rPr>
        <w:t>la pratique du broyage relève de la prescription médicale</w:t>
      </w:r>
      <w:r>
        <w:t xml:space="preserve"> (2° de l'article R 5132-3 : « le médecin, après examen du malade, indique lisiblement [...] la dénomination du médicament, [...], la voie d'administration et le mode d'emploi. » ).</w:t>
      </w:r>
    </w:p>
    <w:p w14:paraId="4991AE96" w14:textId="42160D51" w:rsidR="006D0DC8" w:rsidRPr="00D30CFA" w:rsidRDefault="006D0DC8" w:rsidP="006D0DC8">
      <w:pPr>
        <w:rPr>
          <w:b/>
          <w:bCs/>
          <w:u w:val="single"/>
        </w:rPr>
      </w:pPr>
      <w:r w:rsidRPr="00D30CFA">
        <w:rPr>
          <w:b/>
          <w:bCs/>
          <w:u w:val="single"/>
        </w:rPr>
        <w:t xml:space="preserve"> Avant toute prescription, il faut : </w:t>
      </w:r>
    </w:p>
    <w:p w14:paraId="74E38575" w14:textId="77777777" w:rsidR="006D0DC8" w:rsidRDefault="006D0DC8" w:rsidP="006D0DC8">
      <w:r>
        <w:t>- rechercher des alternatives thérapeutiques ou galéniques (formes orodispersibles, etc.) pour limiter la prescription du broyage aux médicaments indispensables ;</w:t>
      </w:r>
    </w:p>
    <w:p w14:paraId="5783D8F5" w14:textId="77777777" w:rsidR="006D0DC8" w:rsidRDefault="006D0DC8" w:rsidP="006D0DC8">
      <w:r>
        <w:t>- renseigner le motif d'écrasement pour informer de manière éclairée les autres professionnels de santé (difficultés de déglutition, sonde, trouble du comportement, etc.) ;</w:t>
      </w:r>
    </w:p>
    <w:p w14:paraId="4AF6B05C" w14:textId="2C1FA733" w:rsidR="006D0DC8" w:rsidRDefault="006D0DC8" w:rsidP="006D0DC8">
      <w:r>
        <w:t>- prescrire après la ligne dénomination du médicament "à écraser" (si le logiciel le permet).</w:t>
      </w:r>
    </w:p>
    <w:p w14:paraId="555E106A" w14:textId="14A897E4" w:rsidR="00F91F6F" w:rsidRDefault="00F91F6F" w:rsidP="006D0DC8"/>
    <w:p w14:paraId="22D7B017" w14:textId="55CA91FE" w:rsidR="00F91F6F" w:rsidRPr="00F91F6F" w:rsidRDefault="00F91F6F" w:rsidP="006D0DC8">
      <w:pPr>
        <w:rPr>
          <w:b/>
          <w:bCs/>
          <w:u w:val="single"/>
        </w:rPr>
      </w:pPr>
      <w:r w:rsidRPr="00F91F6F">
        <w:rPr>
          <w:b/>
          <w:bCs/>
          <w:u w:val="single"/>
        </w:rPr>
        <w:t>LEGENDES :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2"/>
        <w:gridCol w:w="4012"/>
      </w:tblGrid>
      <w:tr w:rsidR="006D0DC8" w14:paraId="0BE912E6" w14:textId="77777777" w:rsidTr="00A43277">
        <w:trPr>
          <w:trHeight w:val="858"/>
        </w:trPr>
        <w:tc>
          <w:tcPr>
            <w:tcW w:w="4012" w:type="dxa"/>
          </w:tcPr>
          <w:p w14:paraId="1B5D999B" w14:textId="235FF07D" w:rsidR="006D0DC8" w:rsidRDefault="006D0DC8" w:rsidP="00A432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99A495" wp14:editId="4B4BBDCF">
                  <wp:extent cx="523875" cy="535057"/>
                  <wp:effectExtent l="0" t="0" r="0" b="0"/>
                  <wp:docPr id="4" name="Imag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50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</w:tcPr>
          <w:p w14:paraId="1E214460" w14:textId="77777777" w:rsidR="006D0DC8" w:rsidRDefault="006D0DC8" w:rsidP="00A43277">
            <w:pPr>
              <w:jc w:val="center"/>
            </w:pPr>
          </w:p>
          <w:p w14:paraId="70DA9092" w14:textId="7E79B4FD" w:rsidR="006D0DC8" w:rsidRDefault="006D0DC8" w:rsidP="00A43277">
            <w:pPr>
              <w:jc w:val="center"/>
            </w:pPr>
            <w:r>
              <w:t>ECRASEMENT POSSIBLE</w:t>
            </w:r>
          </w:p>
        </w:tc>
      </w:tr>
      <w:tr w:rsidR="006D0DC8" w14:paraId="0343DECB" w14:textId="77777777" w:rsidTr="00A43277">
        <w:trPr>
          <w:trHeight w:val="858"/>
        </w:trPr>
        <w:tc>
          <w:tcPr>
            <w:tcW w:w="4012" w:type="dxa"/>
          </w:tcPr>
          <w:p w14:paraId="43101D8F" w14:textId="77777777" w:rsidR="006D0DC8" w:rsidRDefault="006D0DC8" w:rsidP="00A43277">
            <w:pPr>
              <w:jc w:val="center"/>
            </w:pPr>
          </w:p>
          <w:p w14:paraId="65B9D0DB" w14:textId="122AA098" w:rsidR="006D0DC8" w:rsidRPr="006D0DC8" w:rsidRDefault="006D0DC8" w:rsidP="00A432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5FA377" wp14:editId="580EC134">
                  <wp:extent cx="523875" cy="525693"/>
                  <wp:effectExtent l="0" t="0" r="0" b="8255"/>
                  <wp:docPr id="262" name="Image 2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E03211-9B88-456D-A88A-EC84653DAD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age 261">
                            <a:extLst>
                              <a:ext uri="{FF2B5EF4-FFF2-40B4-BE49-F238E27FC236}">
                                <a16:creationId xmlns:a16="http://schemas.microsoft.com/office/drawing/2014/main" id="{5CE03211-9B88-456D-A88A-EC84653DAD8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56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</w:tcPr>
          <w:p w14:paraId="6FB24BE5" w14:textId="77777777" w:rsidR="006D0DC8" w:rsidRDefault="006D0DC8" w:rsidP="00A43277">
            <w:pPr>
              <w:jc w:val="center"/>
            </w:pPr>
          </w:p>
          <w:p w14:paraId="248E5447" w14:textId="7D48DF7A" w:rsidR="006D0DC8" w:rsidRDefault="006D0DC8" w:rsidP="00A43277">
            <w:pPr>
              <w:jc w:val="center"/>
            </w:pPr>
            <w:r>
              <w:t>NE PAS ECRASER NI CROQUER</w:t>
            </w:r>
          </w:p>
        </w:tc>
      </w:tr>
      <w:tr w:rsidR="006D0DC8" w14:paraId="4F51E4FF" w14:textId="77777777" w:rsidTr="00A43277">
        <w:trPr>
          <w:trHeight w:val="858"/>
        </w:trPr>
        <w:tc>
          <w:tcPr>
            <w:tcW w:w="4012" w:type="dxa"/>
          </w:tcPr>
          <w:p w14:paraId="0DD86191" w14:textId="77777777" w:rsidR="006D0DC8" w:rsidRDefault="006D0DC8" w:rsidP="00A43277">
            <w:pPr>
              <w:jc w:val="center"/>
            </w:pPr>
          </w:p>
          <w:p w14:paraId="7AB03C7A" w14:textId="65CC4C96" w:rsidR="006D0DC8" w:rsidRPr="006D0DC8" w:rsidRDefault="006D0DC8" w:rsidP="00A432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A30F80" wp14:editId="2F9688C1">
                  <wp:extent cx="514350" cy="490537"/>
                  <wp:effectExtent l="0" t="0" r="0" b="5080"/>
                  <wp:docPr id="280" name="Image 27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E0DE71-C864-4BBD-851D-E7A898C81CB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age 279">
                            <a:extLst>
                              <a:ext uri="{FF2B5EF4-FFF2-40B4-BE49-F238E27FC236}">
                                <a16:creationId xmlns:a16="http://schemas.microsoft.com/office/drawing/2014/main" id="{B4E0DE71-C864-4BBD-851D-E7A898C81CB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905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</w:tcPr>
          <w:p w14:paraId="48EDD89D" w14:textId="77777777" w:rsidR="006D0DC8" w:rsidRDefault="006D0DC8" w:rsidP="00A43277">
            <w:pPr>
              <w:jc w:val="center"/>
            </w:pPr>
          </w:p>
          <w:p w14:paraId="560D17AB" w14:textId="261684B5" w:rsidR="006D0DC8" w:rsidRDefault="006D0DC8" w:rsidP="00A43277">
            <w:pPr>
              <w:jc w:val="center"/>
            </w:pPr>
            <w:r>
              <w:t>NE PAS OUVRIR</w:t>
            </w:r>
          </w:p>
        </w:tc>
      </w:tr>
      <w:tr w:rsidR="006D0DC8" w14:paraId="631F9378" w14:textId="77777777" w:rsidTr="00A43277">
        <w:trPr>
          <w:trHeight w:val="805"/>
        </w:trPr>
        <w:tc>
          <w:tcPr>
            <w:tcW w:w="4012" w:type="dxa"/>
          </w:tcPr>
          <w:p w14:paraId="0786BDBA" w14:textId="3ED3965D" w:rsidR="006D0DC8" w:rsidRDefault="006D0DC8" w:rsidP="00A432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3C42FA" wp14:editId="60E25ED0">
                  <wp:extent cx="523668" cy="423864"/>
                  <wp:effectExtent l="0" t="0" r="0" b="0"/>
                  <wp:docPr id="208" name="Image 20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61046-B4D9-4CCB-AB94-1E7AF9C2173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 207">
                            <a:extLst>
                              <a:ext uri="{FF2B5EF4-FFF2-40B4-BE49-F238E27FC236}">
                                <a16:creationId xmlns:a16="http://schemas.microsoft.com/office/drawing/2014/main" id="{55261046-B4D9-4CCB-AB94-1E7AF9C2173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668" cy="4238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</w:tcPr>
          <w:p w14:paraId="60717FD5" w14:textId="77777777" w:rsidR="006D0DC8" w:rsidRDefault="006D0DC8" w:rsidP="00A43277">
            <w:pPr>
              <w:jc w:val="center"/>
            </w:pPr>
          </w:p>
          <w:p w14:paraId="57293693" w14:textId="679BD61A" w:rsidR="006D0DC8" w:rsidRDefault="006D0DC8" w:rsidP="00A43277">
            <w:pPr>
              <w:jc w:val="center"/>
            </w:pPr>
            <w:r>
              <w:t>OUVERTURE POSSIBLE</w:t>
            </w:r>
          </w:p>
        </w:tc>
      </w:tr>
    </w:tbl>
    <w:p w14:paraId="1E013B62" w14:textId="77777777" w:rsidR="00A43277" w:rsidRDefault="00A43277" w:rsidP="006D0DC8"/>
    <w:p w14:paraId="057F69CC" w14:textId="77777777" w:rsidR="00A43277" w:rsidRPr="00A43277" w:rsidRDefault="00A43277" w:rsidP="00A43277"/>
    <w:p w14:paraId="1F9F030B" w14:textId="77777777" w:rsidR="00A43277" w:rsidRPr="00A43277" w:rsidRDefault="00A43277" w:rsidP="00A43277"/>
    <w:p w14:paraId="0AEB71F9" w14:textId="77777777" w:rsidR="00A43277" w:rsidRPr="00A43277" w:rsidRDefault="00A43277" w:rsidP="00A43277"/>
    <w:p w14:paraId="1B9543D4" w14:textId="77777777" w:rsidR="00A43277" w:rsidRPr="00A43277" w:rsidRDefault="00A43277" w:rsidP="00A43277"/>
    <w:p w14:paraId="6DF34D18" w14:textId="77777777" w:rsidR="00A43277" w:rsidRPr="00A43277" w:rsidRDefault="00A43277" w:rsidP="00A43277"/>
    <w:p w14:paraId="4D4620E1" w14:textId="77777777" w:rsidR="00A43277" w:rsidRPr="00A43277" w:rsidRDefault="00A43277" w:rsidP="00A43277"/>
    <w:p w14:paraId="353D3835" w14:textId="77777777" w:rsidR="00A43277" w:rsidRDefault="00A43277" w:rsidP="006D0DC8"/>
    <w:p w14:paraId="4DCD510A" w14:textId="77777777" w:rsidR="00A43277" w:rsidRDefault="00A43277" w:rsidP="006D0DC8"/>
    <w:p w14:paraId="6C0427A6" w14:textId="77777777" w:rsidR="00CF1C02" w:rsidRDefault="00CF1C02" w:rsidP="006D0DC8"/>
    <w:p w14:paraId="0348DA68" w14:textId="77777777" w:rsidR="009D06BD" w:rsidRPr="00961C23" w:rsidRDefault="00CF1C02" w:rsidP="006D0DC8">
      <w:pPr>
        <w:rPr>
          <w:b/>
          <w:bCs/>
        </w:rPr>
      </w:pPr>
      <w:r w:rsidRPr="00961C23">
        <w:rPr>
          <w:b/>
          <w:bCs/>
        </w:rPr>
        <w:t>ADMINISTRATION DES MEDICAMENTS PAR SONDE NASOGASTRIQUE (SNG)</w:t>
      </w:r>
      <w:r w:rsidR="009D06BD" w:rsidRPr="00961C23">
        <w:rPr>
          <w:b/>
          <w:bCs/>
        </w:rPr>
        <w:t> :</w:t>
      </w:r>
    </w:p>
    <w:p w14:paraId="57362DC8" w14:textId="044C49AA" w:rsidR="00CB2110" w:rsidRDefault="009D06BD">
      <w:r>
        <w:t>A ce jour, il n’existe pas de référentiel national ou européen précis et exhaustif sur l’administration des médicaments par sonde</w:t>
      </w:r>
      <w:r w:rsidR="003220B6">
        <w:t xml:space="preserve"> entérale ou nasogastrique. Cette voie d’administration peut nécessiter</w:t>
      </w:r>
      <w:r w:rsidR="002D396D">
        <w:t>, en l’absence d’alternative, l’écrasement de comprimés ou l’ouverture de gélules</w:t>
      </w:r>
      <w:r w:rsidR="002D396D" w:rsidRPr="00961C23">
        <w:rPr>
          <w:b/>
          <w:bCs/>
          <w:u w:val="single"/>
        </w:rPr>
        <w:t>. Il s’agit là d’une utilisation hors AMM</w:t>
      </w:r>
      <w:r w:rsidR="00961C23" w:rsidRPr="00961C23">
        <w:rPr>
          <w:b/>
          <w:bCs/>
          <w:u w:val="single"/>
        </w:rPr>
        <w:t>.</w:t>
      </w:r>
      <w:r w:rsidR="00961C23">
        <w:t xml:space="preserve"> Il existe très peu d’études évaluant l’efficacité ou la sécurité d’emploi dans cette situation.</w:t>
      </w:r>
      <w:r w:rsidR="00A43277">
        <w:br w:type="textWrapping" w:clear="all"/>
      </w:r>
      <w:r w:rsidR="00CB2110">
        <w:br w:type="page"/>
      </w:r>
    </w:p>
    <w:p w14:paraId="3025F581" w14:textId="0729DE2C" w:rsidR="006D0DC8" w:rsidRDefault="006D0DC8" w:rsidP="006D0DC8"/>
    <w:p w14:paraId="6C3CF7D4" w14:textId="70B89CB2" w:rsidR="00CB2110" w:rsidRPr="00F645C2" w:rsidRDefault="00B831FA" w:rsidP="00B831FA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F645C2">
        <w:rPr>
          <w:b/>
          <w:bCs/>
          <w:u w:val="single"/>
        </w:rPr>
        <w:t>COUPER, ECRASER, OUVRIR, QUELS SONT LES RISQUES POTENTIELS :</w:t>
      </w:r>
    </w:p>
    <w:p w14:paraId="75605D0F" w14:textId="77777777" w:rsidR="005D54F4" w:rsidRDefault="005D54F4" w:rsidP="000E5B65"/>
    <w:p w14:paraId="6EBFB614" w14:textId="4B67A405" w:rsidR="00B831FA" w:rsidRDefault="00D74766" w:rsidP="00D74766">
      <w:pPr>
        <w:pStyle w:val="Paragraphedeliste"/>
        <w:numPr>
          <w:ilvl w:val="0"/>
          <w:numId w:val="2"/>
        </w:numPr>
      </w:pPr>
      <w:r>
        <w:t>Erreur de dosage, sur ou sous-dosage</w:t>
      </w:r>
    </w:p>
    <w:p w14:paraId="620C2A95" w14:textId="4469CB99" w:rsidR="00D74766" w:rsidRDefault="00D74766" w:rsidP="00D74766">
      <w:pPr>
        <w:pStyle w:val="Paragraphedeliste"/>
        <w:numPr>
          <w:ilvl w:val="0"/>
          <w:numId w:val="2"/>
        </w:numPr>
      </w:pPr>
      <w:r>
        <w:t>Toxicité locale avec irritation et ulcération des muqueuses</w:t>
      </w:r>
    </w:p>
    <w:p w14:paraId="29B49868" w14:textId="2EE4C02C" w:rsidR="00D74766" w:rsidRDefault="00100F4E" w:rsidP="00D74766">
      <w:pPr>
        <w:pStyle w:val="Paragraphedeliste"/>
        <w:numPr>
          <w:ilvl w:val="0"/>
          <w:numId w:val="2"/>
        </w:numPr>
      </w:pPr>
      <w:r>
        <w:t>Modification des propriétés physico-chimiques, pharmacocinétiques ou pharmacologiques engendrant une toxicité ou une perte d’effet</w:t>
      </w:r>
      <w:r w:rsidR="005D54F4">
        <w:t>.</w:t>
      </w:r>
    </w:p>
    <w:p w14:paraId="18AD25B0" w14:textId="77777777" w:rsidR="005D54F4" w:rsidRDefault="005D54F4" w:rsidP="005D54F4"/>
    <w:p w14:paraId="036492F7" w14:textId="4EA59CBE" w:rsidR="005D54F4" w:rsidRPr="00544EC4" w:rsidRDefault="005D54F4" w:rsidP="005D54F4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544EC4">
        <w:rPr>
          <w:b/>
          <w:bCs/>
          <w:u w:val="single"/>
        </w:rPr>
        <w:t>REGLES GENERALES :</w:t>
      </w:r>
    </w:p>
    <w:p w14:paraId="427AF5B9" w14:textId="77777777" w:rsidR="000E5B65" w:rsidRDefault="000E5B65" w:rsidP="000E5B65"/>
    <w:p w14:paraId="395738DA" w14:textId="6EF10BBD" w:rsidR="005D54F4" w:rsidRDefault="005D54F4" w:rsidP="005D54F4">
      <w:pPr>
        <w:pStyle w:val="Paragraphedeliste"/>
        <w:numPr>
          <w:ilvl w:val="1"/>
          <w:numId w:val="1"/>
        </w:numPr>
      </w:pPr>
      <w:r>
        <w:t>En l</w:t>
      </w:r>
      <w:r w:rsidR="00861FAA">
        <w:t>’absence de rainure sur un comprimé, la division est aléatoire et devrait être évitée. Il est préférable</w:t>
      </w:r>
      <w:r w:rsidR="00BB661D">
        <w:t xml:space="preserve"> d’utiliser un autre dosage, une autre forme, une autre spécialité.</w:t>
      </w:r>
    </w:p>
    <w:p w14:paraId="305C474D" w14:textId="0A2877E0" w:rsidR="00BB661D" w:rsidRDefault="00BB661D" w:rsidP="005D54F4">
      <w:pPr>
        <w:pStyle w:val="Paragraphedeliste"/>
        <w:numPr>
          <w:ilvl w:val="1"/>
          <w:numId w:val="1"/>
        </w:numPr>
      </w:pPr>
      <w:r>
        <w:t>Il ne faut pas couper, écraser, ouvrir les formes orales</w:t>
      </w:r>
      <w:r w:rsidR="008518F4">
        <w:t> :</w:t>
      </w:r>
    </w:p>
    <w:p w14:paraId="4D8B7463" w14:textId="4B246FFA" w:rsidR="008518F4" w:rsidRDefault="008518F4" w:rsidP="008518F4">
      <w:pPr>
        <w:pStyle w:val="Paragraphedeliste"/>
        <w:numPr>
          <w:ilvl w:val="2"/>
          <w:numId w:val="1"/>
        </w:numPr>
      </w:pPr>
      <w:r>
        <w:t xml:space="preserve"> Gastro-résistantes (sauf pour les sondes jéjunales)</w:t>
      </w:r>
    </w:p>
    <w:p w14:paraId="4FE8A6F5" w14:textId="1867512B" w:rsidR="008518F4" w:rsidRDefault="00110800" w:rsidP="008518F4">
      <w:pPr>
        <w:pStyle w:val="Paragraphedeliste"/>
        <w:numPr>
          <w:ilvl w:val="2"/>
          <w:numId w:val="1"/>
        </w:numPr>
      </w:pPr>
      <w:r>
        <w:t>A libération modifiée, les gélules LP peuvent être ouvertes mais leur contenu non écrasé.</w:t>
      </w:r>
    </w:p>
    <w:p w14:paraId="4EA1A8B9" w14:textId="7226306D" w:rsidR="008D4DDF" w:rsidRDefault="008D4DDF" w:rsidP="008518F4">
      <w:pPr>
        <w:pStyle w:val="Paragraphedeliste"/>
        <w:numPr>
          <w:ilvl w:val="2"/>
          <w:numId w:val="1"/>
        </w:numPr>
      </w:pPr>
      <w:r>
        <w:t>Contenant des principes actifs instables à l’air ou à la lumière</w:t>
      </w:r>
    </w:p>
    <w:p w14:paraId="3E1CBF35" w14:textId="4F945071" w:rsidR="008D4DDF" w:rsidRDefault="008D4DDF" w:rsidP="008518F4">
      <w:pPr>
        <w:pStyle w:val="Paragraphedeliste"/>
        <w:numPr>
          <w:ilvl w:val="2"/>
          <w:numId w:val="1"/>
        </w:numPr>
      </w:pPr>
      <w:r>
        <w:t>A base de substances irritantes</w:t>
      </w:r>
    </w:p>
    <w:p w14:paraId="07DED4FF" w14:textId="4101E4FC" w:rsidR="008D4DDF" w:rsidRDefault="009654CB" w:rsidP="008518F4">
      <w:pPr>
        <w:pStyle w:val="Paragraphedeliste"/>
        <w:numPr>
          <w:ilvl w:val="2"/>
          <w:numId w:val="1"/>
        </w:numPr>
      </w:pPr>
      <w:r>
        <w:t>Contenant des principes actifs toxiques</w:t>
      </w:r>
    </w:p>
    <w:p w14:paraId="00BA5E6F" w14:textId="51CEBAB5" w:rsidR="009654CB" w:rsidRDefault="009654CB" w:rsidP="008518F4">
      <w:pPr>
        <w:pStyle w:val="Paragraphedeliste"/>
        <w:numPr>
          <w:ilvl w:val="2"/>
          <w:numId w:val="1"/>
        </w:numPr>
      </w:pPr>
      <w:r>
        <w:t>Contenant des substances à marge thérapeutique étroite</w:t>
      </w:r>
      <w:r w:rsidR="00BD0985">
        <w:t xml:space="preserve"> (AVK, anticonvulsivants, </w:t>
      </w:r>
      <w:proofErr w:type="spellStart"/>
      <w:r w:rsidR="00BD0985">
        <w:t>digoxine</w:t>
      </w:r>
      <w:proofErr w:type="spellEnd"/>
      <w:r w:rsidR="00D30CFA">
        <w:t>)</w:t>
      </w:r>
    </w:p>
    <w:p w14:paraId="129EC7F9" w14:textId="3447E56B" w:rsidR="00BD0985" w:rsidRDefault="00BD0985" w:rsidP="008518F4">
      <w:pPr>
        <w:pStyle w:val="Paragraphedeliste"/>
        <w:numPr>
          <w:ilvl w:val="2"/>
          <w:numId w:val="1"/>
        </w:numPr>
      </w:pPr>
      <w:r>
        <w:t>Contenant un excipient huileux (capsules)</w:t>
      </w:r>
    </w:p>
    <w:p w14:paraId="45390E2A" w14:textId="77777777" w:rsidR="000E5B65" w:rsidRDefault="000E5B65" w:rsidP="000E5B65"/>
    <w:p w14:paraId="4B0E0BB5" w14:textId="130377A3" w:rsidR="000F3875" w:rsidRPr="00544EC4" w:rsidRDefault="00DB5C86" w:rsidP="000F3875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544EC4">
        <w:rPr>
          <w:b/>
          <w:bCs/>
          <w:u w:val="single"/>
        </w:rPr>
        <w:t>EN PRATIQUE :</w:t>
      </w:r>
    </w:p>
    <w:p w14:paraId="07115B65" w14:textId="39A6CBEA" w:rsidR="00DB5C86" w:rsidRDefault="00DB5C86" w:rsidP="00DB5C86">
      <w:pPr>
        <w:ind w:left="708"/>
      </w:pPr>
    </w:p>
    <w:p w14:paraId="4EE99E3B" w14:textId="2F867224" w:rsidR="00DB5C86" w:rsidRDefault="00DB5C86" w:rsidP="00DB5C86">
      <w:pPr>
        <w:pStyle w:val="Paragraphedeliste"/>
        <w:numPr>
          <w:ilvl w:val="0"/>
          <w:numId w:val="4"/>
        </w:numPr>
      </w:pPr>
      <w:r>
        <w:t>Vérifier si le médicament peut</w:t>
      </w:r>
      <w:r w:rsidR="008D45B2">
        <w:t xml:space="preserve"> </w:t>
      </w:r>
      <w:r>
        <w:t xml:space="preserve">être remplacé par une autre forme (liquide, sachet, </w:t>
      </w:r>
      <w:proofErr w:type="spellStart"/>
      <w:r>
        <w:t>cp</w:t>
      </w:r>
      <w:proofErr w:type="spellEnd"/>
      <w:r>
        <w:t xml:space="preserve"> effervescent, dispersible, suppositoire) ou un autre médicament</w:t>
      </w:r>
      <w:r w:rsidR="008D45B2">
        <w:t>.</w:t>
      </w:r>
    </w:p>
    <w:p w14:paraId="01F4FADC" w14:textId="35593137" w:rsidR="008D45B2" w:rsidRDefault="008D45B2" w:rsidP="00DB5C86">
      <w:pPr>
        <w:pStyle w:val="Paragraphedeliste"/>
        <w:numPr>
          <w:ilvl w:val="0"/>
          <w:numId w:val="4"/>
        </w:numPr>
      </w:pPr>
      <w:r>
        <w:t>Vérifier si le comprimé peut être écrasé ou coupé, la gélule ouverte</w:t>
      </w:r>
      <w:r w:rsidR="00931A07">
        <w:t>.</w:t>
      </w:r>
    </w:p>
    <w:p w14:paraId="39C1D529" w14:textId="18111389" w:rsidR="00931A07" w:rsidRDefault="00931A07" w:rsidP="00931A07">
      <w:pPr>
        <w:pStyle w:val="Paragraphedeliste"/>
        <w:numPr>
          <w:ilvl w:val="0"/>
          <w:numId w:val="5"/>
        </w:numPr>
      </w:pPr>
      <w:r>
        <w:t>Sur le Vidal à la rubrique posologie</w:t>
      </w:r>
    </w:p>
    <w:p w14:paraId="6227320E" w14:textId="7044979D" w:rsidR="00931A07" w:rsidRDefault="00931A07" w:rsidP="00931A07">
      <w:pPr>
        <w:pStyle w:val="Paragraphedeliste"/>
        <w:numPr>
          <w:ilvl w:val="0"/>
          <w:numId w:val="5"/>
        </w:numPr>
      </w:pPr>
      <w:r>
        <w:t>Sur le guide d’utilisation des médicaments ou le livret thérapeutique</w:t>
      </w:r>
    </w:p>
    <w:p w14:paraId="1279623E" w14:textId="68E49005" w:rsidR="00931A07" w:rsidRDefault="00BC2BFA" w:rsidP="00931A07">
      <w:pPr>
        <w:pStyle w:val="Paragraphedeliste"/>
        <w:numPr>
          <w:ilvl w:val="0"/>
          <w:numId w:val="5"/>
        </w:numPr>
      </w:pPr>
      <w:r>
        <w:t>En appelant la pharmacie</w:t>
      </w:r>
    </w:p>
    <w:p w14:paraId="2375F712" w14:textId="533FA9BD" w:rsidR="00BC2BFA" w:rsidRDefault="00BC2BFA" w:rsidP="00BC2BFA">
      <w:pPr>
        <w:pStyle w:val="Paragraphedeliste"/>
        <w:numPr>
          <w:ilvl w:val="0"/>
          <w:numId w:val="6"/>
        </w:numPr>
      </w:pPr>
      <w:r>
        <w:t>Pour couper un comprimé utiliser de préférence un partage comprimé</w:t>
      </w:r>
    </w:p>
    <w:p w14:paraId="4C5F9312" w14:textId="51F21D91" w:rsidR="00BC2BFA" w:rsidRDefault="00502BFA" w:rsidP="00BC2BFA">
      <w:pPr>
        <w:pStyle w:val="Paragraphedeliste"/>
        <w:numPr>
          <w:ilvl w:val="0"/>
          <w:numId w:val="6"/>
        </w:numPr>
      </w:pPr>
      <w:r>
        <w:t>Ne pas écraser les comprimés d’avance. Les principes actifs peuvent être instables à l’air, à la lumière.</w:t>
      </w:r>
    </w:p>
    <w:p w14:paraId="50652981" w14:textId="59545028" w:rsidR="000E7618" w:rsidRDefault="000E7618" w:rsidP="00BC2BFA">
      <w:pPr>
        <w:pStyle w:val="Paragraphedeliste"/>
        <w:numPr>
          <w:ilvl w:val="0"/>
          <w:numId w:val="6"/>
        </w:numPr>
      </w:pPr>
      <w:r>
        <w:t>Ne pas écraser plusieurs comprimés en même temps.</w:t>
      </w:r>
    </w:p>
    <w:p w14:paraId="1293FE7A" w14:textId="0720A3AC" w:rsidR="000E7618" w:rsidRDefault="000E7618" w:rsidP="00BC2BFA">
      <w:pPr>
        <w:pStyle w:val="Paragraphedeliste"/>
        <w:numPr>
          <w:ilvl w:val="0"/>
          <w:numId w:val="6"/>
        </w:numPr>
      </w:pPr>
      <w:r>
        <w:t>Pulvériser le plus finement possible et ajouter un volume de liquide suffisant</w:t>
      </w:r>
      <w:r w:rsidR="007A1FEE">
        <w:t xml:space="preserve"> ou un aliment pour cacher un goût désagréable.</w:t>
      </w:r>
    </w:p>
    <w:p w14:paraId="0A33BE9A" w14:textId="539CF038" w:rsidR="007A1FEE" w:rsidRDefault="007A1FEE" w:rsidP="00BC2BFA">
      <w:pPr>
        <w:pStyle w:val="Paragraphedeliste"/>
        <w:numPr>
          <w:ilvl w:val="0"/>
          <w:numId w:val="6"/>
        </w:numPr>
      </w:pPr>
      <w:r>
        <w:t xml:space="preserve">Laver le mortier ou le broyeur après chaque </w:t>
      </w:r>
      <w:r w:rsidR="0076675E">
        <w:t>utilisation.</w:t>
      </w:r>
    </w:p>
    <w:p w14:paraId="46B86C16" w14:textId="48185E2C" w:rsidR="0076675E" w:rsidRDefault="001E4E87" w:rsidP="00BC2BFA">
      <w:pPr>
        <w:pStyle w:val="Paragraphedeliste"/>
        <w:numPr>
          <w:ilvl w:val="0"/>
          <w:numId w:val="6"/>
        </w:numPr>
      </w:pPr>
      <w:r>
        <w:t>Bien rincer la sonde de nutrition entérale après administration du médicament.</w:t>
      </w:r>
    </w:p>
    <w:sectPr w:rsidR="0076675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B6E0" w14:textId="77777777" w:rsidR="00D83798" w:rsidRDefault="00D83798" w:rsidP="006D0DC8">
      <w:pPr>
        <w:spacing w:after="0" w:line="240" w:lineRule="auto"/>
      </w:pPr>
      <w:r>
        <w:separator/>
      </w:r>
    </w:p>
  </w:endnote>
  <w:endnote w:type="continuationSeparator" w:id="0">
    <w:p w14:paraId="39ADF3CE" w14:textId="77777777" w:rsidR="00D83798" w:rsidRDefault="00D83798" w:rsidP="006D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1665" w14:textId="77777777" w:rsidR="00D83798" w:rsidRDefault="00D83798" w:rsidP="006D0DC8">
      <w:pPr>
        <w:spacing w:after="0" w:line="240" w:lineRule="auto"/>
      </w:pPr>
      <w:r>
        <w:separator/>
      </w:r>
    </w:p>
  </w:footnote>
  <w:footnote w:type="continuationSeparator" w:id="0">
    <w:p w14:paraId="3E47DBE7" w14:textId="77777777" w:rsidR="00D83798" w:rsidRDefault="00D83798" w:rsidP="006D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71DE" w14:textId="77777777" w:rsidR="006D0DC8" w:rsidRPr="006D0DC8" w:rsidRDefault="006D0DC8" w:rsidP="006D0DC8">
    <w:pPr>
      <w:pStyle w:val="En-tte"/>
      <w:jc w:val="center"/>
      <w:rPr>
        <w:b/>
        <w:bCs/>
      </w:rPr>
    </w:pPr>
    <w:r w:rsidRPr="006D0DC8">
      <w:rPr>
        <w:b/>
        <w:bCs/>
      </w:rPr>
      <w:t>Liste nationale des médicaments concernant l'écrasement des comprimés et l'ouverture des gélules</w:t>
    </w:r>
  </w:p>
  <w:p w14:paraId="789D2F15" w14:textId="77777777" w:rsidR="006D0DC8" w:rsidRPr="006D0DC8" w:rsidRDefault="006D0DC8" w:rsidP="006D0DC8">
    <w:pPr>
      <w:pStyle w:val="En-tte"/>
      <w:jc w:val="center"/>
      <w:rPr>
        <w:b/>
        <w:bCs/>
      </w:rPr>
    </w:pPr>
    <w:r w:rsidRPr="006D0DC8">
      <w:rPr>
        <w:b/>
        <w:bCs/>
      </w:rPr>
      <w:t xml:space="preserve">Collaboration </w:t>
    </w:r>
    <w:proofErr w:type="spellStart"/>
    <w:r w:rsidRPr="006D0DC8">
      <w:rPr>
        <w:b/>
        <w:bCs/>
      </w:rPr>
      <w:t>OMéDIT</w:t>
    </w:r>
    <w:proofErr w:type="spellEnd"/>
    <w:r w:rsidRPr="006D0DC8">
      <w:rPr>
        <w:b/>
        <w:bCs/>
      </w:rPr>
      <w:t xml:space="preserve"> Normandie - Société Française de Pharmacie Clinique (Groupe Gériatrie)</w:t>
    </w:r>
  </w:p>
  <w:p w14:paraId="23C48443" w14:textId="412425E0" w:rsidR="006D0DC8" w:rsidRPr="006D0DC8" w:rsidRDefault="006D0DC8" w:rsidP="006D0DC8">
    <w:pPr>
      <w:pStyle w:val="En-tte"/>
      <w:jc w:val="center"/>
      <w:rPr>
        <w:b/>
        <w:bCs/>
      </w:rPr>
    </w:pPr>
    <w:r w:rsidRPr="006D0DC8">
      <w:rPr>
        <w:b/>
        <w:bCs/>
      </w:rPr>
      <w:t>Mise à jour le 20 décembre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5EF9"/>
    <w:multiLevelType w:val="hybridMultilevel"/>
    <w:tmpl w:val="7FBA8DE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8C4BAC"/>
    <w:multiLevelType w:val="hybridMultilevel"/>
    <w:tmpl w:val="5406DA22"/>
    <w:lvl w:ilvl="0" w:tplc="040C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40C634F0"/>
    <w:multiLevelType w:val="hybridMultilevel"/>
    <w:tmpl w:val="52B084C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EF357A6"/>
    <w:multiLevelType w:val="hybridMultilevel"/>
    <w:tmpl w:val="966EA0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ADE2039"/>
    <w:multiLevelType w:val="hybridMultilevel"/>
    <w:tmpl w:val="93D497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77EF4"/>
    <w:multiLevelType w:val="hybridMultilevel"/>
    <w:tmpl w:val="302A196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C8"/>
    <w:rsid w:val="000E5B65"/>
    <w:rsid w:val="000E7618"/>
    <w:rsid w:val="000F3875"/>
    <w:rsid w:val="00100F4E"/>
    <w:rsid w:val="00110800"/>
    <w:rsid w:val="001E4E87"/>
    <w:rsid w:val="002D396D"/>
    <w:rsid w:val="003220B6"/>
    <w:rsid w:val="00502BFA"/>
    <w:rsid w:val="00544EC4"/>
    <w:rsid w:val="005D54F4"/>
    <w:rsid w:val="006D0DC8"/>
    <w:rsid w:val="0076675E"/>
    <w:rsid w:val="007A1FEE"/>
    <w:rsid w:val="008518F4"/>
    <w:rsid w:val="00861FAA"/>
    <w:rsid w:val="008D45B2"/>
    <w:rsid w:val="008D4DDF"/>
    <w:rsid w:val="00931A07"/>
    <w:rsid w:val="00961C23"/>
    <w:rsid w:val="009654CB"/>
    <w:rsid w:val="009D06BD"/>
    <w:rsid w:val="00A43277"/>
    <w:rsid w:val="00B831FA"/>
    <w:rsid w:val="00BB661D"/>
    <w:rsid w:val="00BC2BFA"/>
    <w:rsid w:val="00BD0985"/>
    <w:rsid w:val="00C11221"/>
    <w:rsid w:val="00CB2110"/>
    <w:rsid w:val="00CF1C02"/>
    <w:rsid w:val="00CF619B"/>
    <w:rsid w:val="00D30CFA"/>
    <w:rsid w:val="00D74766"/>
    <w:rsid w:val="00D83798"/>
    <w:rsid w:val="00DB5C86"/>
    <w:rsid w:val="00F645C2"/>
    <w:rsid w:val="00F91F6F"/>
    <w:rsid w:val="00FE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EE5B"/>
  <w15:chartTrackingRefBased/>
  <w15:docId w15:val="{513E9EEB-5BB9-4AD0-8C43-17F7F280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D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0DC8"/>
  </w:style>
  <w:style w:type="paragraph" w:styleId="Pieddepage">
    <w:name w:val="footer"/>
    <w:basedOn w:val="Normal"/>
    <w:link w:val="PieddepageCar"/>
    <w:uiPriority w:val="99"/>
    <w:unhideWhenUsed/>
    <w:rsid w:val="006D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0DC8"/>
  </w:style>
  <w:style w:type="paragraph" w:styleId="Paragraphedeliste">
    <w:name w:val="List Paragraph"/>
    <w:basedOn w:val="Normal"/>
    <w:uiPriority w:val="34"/>
    <w:qFormat/>
    <w:rsid w:val="00B83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0E6E41DECCD41AA014D33C0D0FF34" ma:contentTypeVersion="12" ma:contentTypeDescription="Crée un document." ma:contentTypeScope="" ma:versionID="d9f1029526d7600b39cd3bec27f42f3e">
  <xsd:schema xmlns:xsd="http://www.w3.org/2001/XMLSchema" xmlns:xs="http://www.w3.org/2001/XMLSchema" xmlns:p="http://schemas.microsoft.com/office/2006/metadata/properties" xmlns:ns2="b1d0ead5-fa8f-4598-bdab-9979d472cde2" xmlns:ns3="d6481076-5295-4a98-b9c7-0176806d3aa0" targetNamespace="http://schemas.microsoft.com/office/2006/metadata/properties" ma:root="true" ma:fieldsID="1c024e9a594cbead74760598157ad11b" ns2:_="" ns3:_="">
    <xsd:import namespace="b1d0ead5-fa8f-4598-bdab-9979d472cde2"/>
    <xsd:import namespace="d6481076-5295-4a98-b9c7-0176806d3a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0ead5-fa8f-4598-bdab-9979d472cd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741253-c8a3-49a0-9aed-b2cef97d3e7c}" ma:internalName="TaxCatchAll" ma:showField="CatchAllData" ma:web="b1d0ead5-fa8f-4598-bdab-9979d472cd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81076-5295-4a98-b9c7-0176806d3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d71c66f9-83b5-4cf0-8a47-7707db1ada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AE2822-76FD-4D68-9479-CCDF0A60FFC3}"/>
</file>

<file path=customXml/itemProps2.xml><?xml version="1.0" encoding="utf-8"?>
<ds:datastoreItem xmlns:ds="http://schemas.openxmlformats.org/officeDocument/2006/customXml" ds:itemID="{9B772DED-386A-45D9-814A-FDD6F923D6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PEYRET</dc:creator>
  <cp:keywords/>
  <dc:description/>
  <cp:lastModifiedBy>Stéphanie PEYRET</cp:lastModifiedBy>
  <cp:revision>3</cp:revision>
  <dcterms:created xsi:type="dcterms:W3CDTF">2022-12-21T10:29:00Z</dcterms:created>
  <dcterms:modified xsi:type="dcterms:W3CDTF">2022-12-21T10:33:00Z</dcterms:modified>
</cp:coreProperties>
</file>